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Manual para recursos da etapa de Análise Técnica e de Mérito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12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Acesse o site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http://www.sic.cultura.pr.gov.br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com seu login e senha e clique no menu “Projetos” e “Meus Projetos”.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12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sistema trará todos os editais nos quais o proponente já se inscreveu. Cada um deles terá sua respectiva fase.  Localize o edital de interesse do recurso e clique no balão no canto direito da tela. 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114300" distR="114300">
            <wp:extent cx="6170883" cy="127349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70883" cy="12734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12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Primeiro, o proponente deve clicar na aba “ANÁLISE DE MÉRITO”, que irá abrir abaixo a opção “RECURSO 1a INSTÂNCIA”.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6143625" cy="2112645"/>
            <wp:effectExtent b="0" l="0" r="0" t="0"/>
            <wp:docPr id="9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 b="0" l="0" r="0" t="480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112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12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Após clicar no ícone da tela acima, para iniciar um recurso o proponente deverá clicar em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envi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ar Novo Recurso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3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2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tela abaixo você deve fundamentar o pedido do seu recurso e depois clicar em “enviar recurso”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5759775" cy="39497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9775" cy="394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2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consultar o recurso escrito, clique em Analise Técnica e de Mérito e em Recursos 1ª instância</w:t>
      </w:r>
    </w:p>
    <w:p w:rsidR="00000000" w:rsidDel="00000000" w:rsidP="00000000" w:rsidRDefault="00000000" w:rsidRPr="00000000" w14:paraId="0000001A">
      <w:pPr>
        <w:spacing w:after="120" w:lineRule="auto"/>
        <w:ind w:lef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5877878" cy="2955543"/>
            <wp:effectExtent b="0" l="0" r="0" t="0"/>
            <wp:docPr id="1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77878" cy="29555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1D">
      <w:pPr>
        <w:spacing w:after="12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12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botão “ALTERAR RECURSO”, o proponente poderá editar o recurso escrito, mas somente durante o período de recursos.</w:t>
      </w:r>
    </w:p>
    <w:p w:rsidR="00000000" w:rsidDel="00000000" w:rsidP="00000000" w:rsidRDefault="00000000" w:rsidRPr="00000000" w14:paraId="00000020">
      <w:pPr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552575" cy="495300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pos="3534.0000000000005"/>
        </w:tabs>
        <w:spacing w:after="120" w:lineRule="auto"/>
        <w:ind w:left="141.73228346456688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12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botão “RETIRAR RECURSO”, o proponente pode retirar a solicitação de recurso caso opte por apagar o recurso enviado.</w:t>
      </w:r>
    </w:p>
    <w:p w:rsidR="00000000" w:rsidDel="00000000" w:rsidP="00000000" w:rsidRDefault="00000000" w:rsidRPr="00000000" w14:paraId="00000024">
      <w:pPr>
        <w:spacing w:after="120" w:lineRule="auto"/>
        <w:ind w:left="0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pos="3534.0000000000005"/>
        </w:tabs>
        <w:spacing w:after="120" w:lineRule="auto"/>
        <w:ind w:left="141.73228346456688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601808" cy="578168"/>
            <wp:effectExtent b="0" l="0" r="0" t="0"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1808" cy="578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IMPORTANTE</w:t>
      </w:r>
      <w:r w:rsidDel="00000000" w:rsidR="00000000" w:rsidRPr="00000000">
        <w:rPr>
          <w:rFonts w:ascii="Arial" w:cs="Arial" w:eastAsia="Arial" w:hAnsi="Arial"/>
          <w:rtl w:val="0"/>
        </w:rPr>
        <w:t xml:space="preserve">: A SECC não se responsabiliza pelo cadastro de recursos não efetuados por motivos de ordem técnica de computadores, falhas de comunicação, congestionamento das linhas de comunicação e outros fatores que impossibilitem a transferência de dados disponíveis no SisProfice.</w:t>
      </w:r>
    </w:p>
    <w:p w:rsidR="00000000" w:rsidDel="00000000" w:rsidP="00000000" w:rsidRDefault="00000000" w:rsidRPr="00000000" w14:paraId="00000029">
      <w:pPr>
        <w:spacing w:after="12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Dúvidas devem ser encaminhadas ao e-mail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longa@secc.pr.gov.br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40" w:w="11907" w:orient="portrait"/>
      <w:pgMar w:bottom="1134" w:top="1134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42332" cy="711518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2332" cy="7115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spacing w:line="1" w:lineRule="atLeast"/>
      <w:ind w:left="360"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Númerodepágina">
    <w:name w:val="Número de página"/>
    <w:basedOn w:val="Fonteparág.padrão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basedOn w:val="Fonteparág.padrão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jpg"/><Relationship Id="rId10" Type="http://schemas.openxmlformats.org/officeDocument/2006/relationships/image" Target="media/image3.png"/><Relationship Id="rId13" Type="http://schemas.openxmlformats.org/officeDocument/2006/relationships/image" Target="media/image4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5" Type="http://schemas.openxmlformats.org/officeDocument/2006/relationships/header" Target="header1.xml"/><Relationship Id="rId14" Type="http://schemas.openxmlformats.org/officeDocument/2006/relationships/hyperlink" Target="mailto:longa@secc.pr.gov.br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ic.cultura.pr.gov.br" TargetMode="External"/><Relationship Id="rId8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0G0EAmP9zVHPYljKdnRqvousA==">AMUW2mVUqP9SS/jrxNlqcsV/3VX5JIGFOLWWO1eQ+hvDwbQzkmidvwzugwhi1RAyL2OxVTrN4YGghGMnYMyx+QEGduxoU0W7S8mPL9CWBaRt20KCrh1R3bk=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2020-07-08T17:03:00Z</dcterms:created>
  <dc:creator>adriana</dc:creator>
</cp:coreProperties>
</file>